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ED331" w14:textId="56062BCE" w:rsidR="003F5AD7" w:rsidRDefault="003F5AD7" w:rsidP="003F5AD7">
      <w:pPr>
        <w:ind w:firstLineChars="0" w:firstLine="0"/>
        <w:jc w:val="center"/>
        <w:outlineLvl w:val="0"/>
        <w:rPr>
          <w:rFonts w:ascii="Times New Roman" w:hAnsi="Times New Roman"/>
          <w:b/>
          <w:sz w:val="32"/>
          <w:szCs w:val="32"/>
        </w:rPr>
      </w:pPr>
      <w:bookmarkStart w:id="0" w:name="_Toc101272206"/>
      <w:r>
        <w:rPr>
          <w:rFonts w:ascii="Times New Roman" w:hAnsi="Times New Roman"/>
          <w:b/>
          <w:sz w:val="32"/>
          <w:szCs w:val="32"/>
        </w:rPr>
        <w:t xml:space="preserve">  </w:t>
      </w:r>
      <w:r>
        <w:rPr>
          <w:rFonts w:ascii="Times New Roman" w:hAnsi="Times New Roman" w:hint="eastAsia"/>
          <w:b/>
          <w:sz w:val="32"/>
          <w:szCs w:val="32"/>
        </w:rPr>
        <w:t>服务要求及说明</w:t>
      </w:r>
      <w:bookmarkEnd w:id="0"/>
    </w:p>
    <w:p w14:paraId="5568D6B1" w14:textId="77777777" w:rsidR="003F5AD7" w:rsidRDefault="003F5AD7" w:rsidP="003F5AD7">
      <w:pPr>
        <w:ind w:firstLine="482"/>
        <w:rPr>
          <w:rFonts w:ascii="宋体" w:hAnsi="宋体"/>
          <w:b/>
          <w:szCs w:val="24"/>
        </w:rPr>
      </w:pPr>
      <w:r>
        <w:rPr>
          <w:rFonts w:ascii="宋体" w:hAnsi="宋体" w:hint="eastAsia"/>
          <w:b/>
          <w:szCs w:val="24"/>
        </w:rPr>
        <w:t>一、项目总体说明</w:t>
      </w:r>
    </w:p>
    <w:p w14:paraId="3201209D" w14:textId="77777777" w:rsidR="003F5AD7" w:rsidRDefault="003F5AD7" w:rsidP="003F5AD7">
      <w:pPr>
        <w:ind w:firstLine="480"/>
        <w:rPr>
          <w:rFonts w:ascii="Times New Roman" w:hAnsi="Times New Roman" w:hint="eastAsia"/>
          <w:bCs/>
          <w:szCs w:val="24"/>
        </w:rPr>
      </w:pPr>
      <w:r>
        <w:rPr>
          <w:rFonts w:ascii="Times New Roman" w:hAnsi="Times New Roman" w:hint="eastAsia"/>
          <w:bCs/>
          <w:szCs w:val="24"/>
        </w:rPr>
        <w:t>本项目为交钥匙项目。</w:t>
      </w:r>
    </w:p>
    <w:p w14:paraId="704CF87B" w14:textId="77777777" w:rsidR="003F5AD7" w:rsidRDefault="003F5AD7" w:rsidP="003F5AD7">
      <w:pPr>
        <w:ind w:firstLine="482"/>
        <w:rPr>
          <w:rFonts w:ascii="宋体" w:hAnsi="宋体"/>
          <w:b/>
          <w:szCs w:val="24"/>
        </w:rPr>
      </w:pPr>
      <w:r>
        <w:rPr>
          <w:rFonts w:ascii="宋体" w:hAnsi="宋体" w:hint="eastAsia"/>
          <w:b/>
          <w:szCs w:val="24"/>
        </w:rPr>
        <w:t>二、服务要求及其它内容</w:t>
      </w:r>
    </w:p>
    <w:p w14:paraId="53E57188" w14:textId="77777777" w:rsidR="003F5AD7" w:rsidRDefault="003F5AD7" w:rsidP="003F5AD7">
      <w:pPr>
        <w:ind w:firstLine="480"/>
        <w:rPr>
          <w:rFonts w:ascii="仿宋" w:hAnsi="仿宋" w:hint="eastAsia"/>
          <w:szCs w:val="24"/>
        </w:rPr>
      </w:pPr>
      <w:r>
        <w:rPr>
          <w:rFonts w:ascii="仿宋" w:hAnsi="仿宋" w:hint="eastAsia"/>
          <w:szCs w:val="24"/>
        </w:rPr>
        <w:t>1、采购人将产生的危险废物在合同期内，委托给供应商处理，由供应商负责运输和处置。供应商严格按照《危险废物管理相关技术标准及规范》进行运输和处置，不得造成对环境的污染。</w:t>
      </w:r>
    </w:p>
    <w:p w14:paraId="24414925" w14:textId="77777777" w:rsidR="003F5AD7" w:rsidRDefault="003F5AD7" w:rsidP="003F5AD7">
      <w:pPr>
        <w:ind w:firstLine="480"/>
        <w:jc w:val="both"/>
        <w:rPr>
          <w:rFonts w:ascii="仿宋" w:hAnsi="仿宋" w:cs="仿宋_GB2312" w:hint="eastAsia"/>
          <w:szCs w:val="24"/>
        </w:rPr>
      </w:pPr>
      <w:r>
        <w:rPr>
          <w:rFonts w:ascii="仿宋" w:hAnsi="仿宋" w:cs="仿宋_GB2312" w:hint="eastAsia"/>
          <w:szCs w:val="24"/>
        </w:rPr>
        <w:t>2、供应商必须严格执行《中华人民共和国固体废物污染环境防治法》的规定，涉及的危险废物必须经有关环保机关批准同意危险废物转移后方可进行转移运输。</w:t>
      </w:r>
    </w:p>
    <w:p w14:paraId="779FE901" w14:textId="77777777" w:rsidR="003F5AD7" w:rsidRDefault="003F5AD7" w:rsidP="003F5AD7">
      <w:pPr>
        <w:ind w:firstLine="480"/>
        <w:jc w:val="both"/>
        <w:rPr>
          <w:rFonts w:ascii="仿宋" w:hAnsi="仿宋" w:hint="eastAsia"/>
          <w:szCs w:val="24"/>
        </w:rPr>
      </w:pPr>
      <w:r>
        <w:rPr>
          <w:rFonts w:ascii="仿宋" w:hAnsi="仿宋" w:hint="eastAsia"/>
          <w:szCs w:val="24"/>
        </w:rPr>
        <w:t>3、根据《中华人民共和国固体废物污染环境防治法》、《危险废物经营许可证管理办法》的要求，供应商须持有危险废物处置有效期内的资质、专业运输车辆和具有专业资质的工作人员。</w:t>
      </w:r>
    </w:p>
    <w:p w14:paraId="4CBAC007" w14:textId="77777777" w:rsidR="003F5AD7" w:rsidRDefault="003F5AD7" w:rsidP="003F5AD7">
      <w:pPr>
        <w:ind w:firstLine="480"/>
        <w:jc w:val="both"/>
        <w:rPr>
          <w:rFonts w:ascii="仿宋" w:hAnsi="仿宋" w:hint="eastAsia"/>
          <w:szCs w:val="24"/>
        </w:rPr>
      </w:pPr>
      <w:r>
        <w:rPr>
          <w:rFonts w:ascii="仿宋" w:hAnsi="仿宋" w:cs="仿宋_GB2312" w:hint="eastAsia"/>
          <w:szCs w:val="24"/>
        </w:rPr>
        <w:t>4、</w:t>
      </w:r>
      <w:r>
        <w:rPr>
          <w:rFonts w:ascii="仿宋" w:hAnsi="仿宋" w:hint="eastAsia"/>
          <w:szCs w:val="24"/>
        </w:rPr>
        <w:t>每次运输时，供应商协助采购人完成《危险废物转移联单》的填报工作。</w:t>
      </w:r>
      <w:r>
        <w:rPr>
          <w:rFonts w:ascii="仿宋" w:hAnsi="仿宋" w:cs="仿宋_GB2312" w:hint="eastAsia"/>
          <w:szCs w:val="24"/>
        </w:rPr>
        <w:t>双方核对废物种类、数量等信息，做好相关记录，填写交接单据后双方盖章签字，由供应</w:t>
      </w:r>
      <w:proofErr w:type="gramStart"/>
      <w:r>
        <w:rPr>
          <w:rFonts w:ascii="仿宋" w:hAnsi="仿宋" w:cs="仿宋_GB2312" w:hint="eastAsia"/>
          <w:szCs w:val="24"/>
        </w:rPr>
        <w:t>商按照</w:t>
      </w:r>
      <w:proofErr w:type="gramEnd"/>
      <w:r>
        <w:rPr>
          <w:rFonts w:ascii="仿宋" w:hAnsi="仿宋" w:cs="仿宋_GB2312" w:hint="eastAsia"/>
          <w:szCs w:val="24"/>
        </w:rPr>
        <w:t>有关规定送交环保部门。</w:t>
      </w:r>
    </w:p>
    <w:p w14:paraId="33659F57" w14:textId="77777777" w:rsidR="003F5AD7" w:rsidRDefault="003F5AD7" w:rsidP="003F5AD7">
      <w:pPr>
        <w:ind w:firstLine="480"/>
        <w:jc w:val="both"/>
        <w:rPr>
          <w:rFonts w:ascii="仿宋" w:hAnsi="仿宋" w:hint="eastAsia"/>
          <w:szCs w:val="24"/>
        </w:rPr>
      </w:pPr>
      <w:r>
        <w:rPr>
          <w:rFonts w:ascii="仿宋" w:hAnsi="仿宋" w:cs="仿宋_GB2312" w:hint="eastAsia"/>
          <w:szCs w:val="24"/>
        </w:rPr>
        <w:t>5、供应商负责危险废物运输、贮存及安全无害化处置。</w:t>
      </w:r>
    </w:p>
    <w:p w14:paraId="5C9E9B6E" w14:textId="77777777" w:rsidR="003F5AD7" w:rsidRDefault="003F5AD7" w:rsidP="003F5AD7">
      <w:pPr>
        <w:ind w:firstLine="480"/>
        <w:jc w:val="both"/>
        <w:rPr>
          <w:rFonts w:ascii="仿宋" w:hAnsi="仿宋" w:hint="eastAsia"/>
          <w:szCs w:val="24"/>
        </w:rPr>
      </w:pPr>
      <w:r>
        <w:rPr>
          <w:rFonts w:ascii="仿宋" w:hAnsi="仿宋" w:cs="仿宋_GB2312" w:hint="eastAsia"/>
          <w:szCs w:val="24"/>
        </w:rPr>
        <w:t>6、运输途中所产生的泄漏、污染、人员伤亡及财产损失等所有事故责任均由供应商承担。</w:t>
      </w:r>
    </w:p>
    <w:p w14:paraId="4BBDA819" w14:textId="77777777" w:rsidR="003F5AD7" w:rsidRDefault="003F5AD7" w:rsidP="003F5AD7">
      <w:pPr>
        <w:ind w:firstLine="480"/>
        <w:jc w:val="both"/>
        <w:rPr>
          <w:rFonts w:ascii="仿宋" w:hAnsi="仿宋" w:cs="仿宋_GB2312" w:hint="eastAsia"/>
          <w:szCs w:val="24"/>
        </w:rPr>
      </w:pPr>
      <w:r>
        <w:rPr>
          <w:rFonts w:ascii="仿宋" w:hAnsi="仿宋" w:cs="仿宋_GB2312" w:hint="eastAsia"/>
          <w:szCs w:val="24"/>
        </w:rPr>
        <w:t>7、供应商严格按照国家有关环保标准对采购人产生的危险废物进行无害化处置。处置过程中，产生的所有事故责任均由供应商承担。</w:t>
      </w:r>
    </w:p>
    <w:p w14:paraId="45E69874" w14:textId="77777777" w:rsidR="003F5AD7" w:rsidRDefault="003F5AD7" w:rsidP="003F5AD7">
      <w:pPr>
        <w:ind w:firstLine="480"/>
        <w:jc w:val="both"/>
        <w:rPr>
          <w:rFonts w:ascii="仿宋" w:hAnsi="仿宋" w:hint="eastAsia"/>
          <w:szCs w:val="24"/>
        </w:rPr>
      </w:pPr>
      <w:r>
        <w:rPr>
          <w:rFonts w:ascii="仿宋" w:hAnsi="仿宋" w:hint="eastAsia"/>
          <w:szCs w:val="24"/>
        </w:rPr>
        <w:t>8、供应商指定服务负责人姓名，联系电话，以便及时沟通服务。</w:t>
      </w:r>
    </w:p>
    <w:p w14:paraId="3A737E05" w14:textId="77777777" w:rsidR="003F5AD7" w:rsidRDefault="003F5AD7" w:rsidP="003F5AD7">
      <w:pPr>
        <w:ind w:firstLine="480"/>
        <w:jc w:val="both"/>
        <w:rPr>
          <w:rFonts w:ascii="仿宋" w:hAnsi="仿宋" w:hint="eastAsia"/>
          <w:szCs w:val="24"/>
        </w:rPr>
      </w:pPr>
      <w:r>
        <w:rPr>
          <w:rFonts w:ascii="仿宋" w:hAnsi="仿宋" w:hint="eastAsia"/>
          <w:szCs w:val="24"/>
        </w:rPr>
        <w:t>9、采购人提供信息，由供应商负责完成采购人本年度</w:t>
      </w:r>
      <w:proofErr w:type="gramStart"/>
      <w:r>
        <w:rPr>
          <w:rFonts w:ascii="仿宋" w:hAnsi="仿宋" w:hint="eastAsia"/>
          <w:szCs w:val="24"/>
        </w:rPr>
        <w:t>的危废月报</w:t>
      </w:r>
      <w:proofErr w:type="gramEnd"/>
      <w:r>
        <w:rPr>
          <w:rFonts w:ascii="仿宋" w:hAnsi="仿宋" w:hint="eastAsia"/>
          <w:szCs w:val="24"/>
        </w:rPr>
        <w:t>、年报和下一年的管理计划的申报工作。</w:t>
      </w:r>
    </w:p>
    <w:p w14:paraId="7BB66486" w14:textId="77777777" w:rsidR="003F5AD7" w:rsidRDefault="003F5AD7" w:rsidP="003F5AD7">
      <w:pPr>
        <w:ind w:firstLine="480"/>
        <w:jc w:val="both"/>
        <w:rPr>
          <w:rFonts w:ascii="仿宋" w:hAnsi="仿宋" w:hint="eastAsia"/>
          <w:szCs w:val="24"/>
        </w:rPr>
      </w:pPr>
      <w:r>
        <w:rPr>
          <w:rFonts w:ascii="仿宋" w:hAnsi="仿宋" w:hint="eastAsia"/>
          <w:szCs w:val="24"/>
        </w:rPr>
        <w:t>10、供应商负责危险废物的安全搬运和装车事宜。搬运和装车所需的工具及防护用品均由供应商承担。搬运和装车</w:t>
      </w:r>
      <w:r>
        <w:rPr>
          <w:rFonts w:ascii="仿宋" w:hAnsi="仿宋" w:cs="仿宋_GB2312" w:hint="eastAsia"/>
          <w:szCs w:val="24"/>
        </w:rPr>
        <w:t>所产生的泄漏、污染、人员伤亡及财产损失等所有事故责任均由供应商承担。</w:t>
      </w:r>
    </w:p>
    <w:p w14:paraId="1F3B594D" w14:textId="77777777" w:rsidR="003F5AD7" w:rsidRDefault="003F5AD7" w:rsidP="003F5AD7">
      <w:pPr>
        <w:ind w:firstLine="480"/>
        <w:jc w:val="both"/>
        <w:rPr>
          <w:rFonts w:ascii="仿宋" w:hAnsi="仿宋" w:hint="eastAsia"/>
          <w:szCs w:val="24"/>
        </w:rPr>
      </w:pPr>
      <w:r>
        <w:rPr>
          <w:rFonts w:ascii="仿宋" w:hAnsi="仿宋" w:cs="仿宋_GB2312" w:hint="eastAsia"/>
          <w:szCs w:val="24"/>
        </w:rPr>
        <w:t>11、供应商进入采购人院区应严格遵守采购人的有关规章制度。</w:t>
      </w:r>
    </w:p>
    <w:p w14:paraId="42DD92C0" w14:textId="77777777" w:rsidR="003F5AD7" w:rsidRDefault="003F5AD7" w:rsidP="003F5AD7">
      <w:pPr>
        <w:ind w:firstLine="480"/>
        <w:jc w:val="both"/>
        <w:rPr>
          <w:rFonts w:ascii="仿宋" w:hAnsi="仿宋" w:cs="仿宋_GB2312" w:hint="eastAsia"/>
          <w:szCs w:val="24"/>
        </w:rPr>
      </w:pPr>
      <w:r>
        <w:rPr>
          <w:rFonts w:ascii="仿宋" w:hAnsi="仿宋" w:cs="仿宋_GB2312" w:hint="eastAsia"/>
          <w:szCs w:val="24"/>
        </w:rPr>
        <w:t>12、供应</w:t>
      </w:r>
      <w:proofErr w:type="gramStart"/>
      <w:r>
        <w:rPr>
          <w:rFonts w:ascii="仿宋" w:hAnsi="仿宋" w:cs="仿宋_GB2312" w:hint="eastAsia"/>
          <w:szCs w:val="24"/>
        </w:rPr>
        <w:t>商凭危险</w:t>
      </w:r>
      <w:proofErr w:type="gramEnd"/>
      <w:r>
        <w:rPr>
          <w:rFonts w:ascii="仿宋" w:hAnsi="仿宋" w:cs="仿宋_GB2312" w:hint="eastAsia"/>
          <w:szCs w:val="24"/>
        </w:rPr>
        <w:t>废物转移联单及时进行危险废物的转移。</w:t>
      </w:r>
    </w:p>
    <w:p w14:paraId="495396EE" w14:textId="77777777" w:rsidR="003F5AD7" w:rsidRDefault="003F5AD7" w:rsidP="003F5AD7">
      <w:pPr>
        <w:ind w:firstLine="480"/>
        <w:jc w:val="both"/>
        <w:rPr>
          <w:rFonts w:ascii="仿宋" w:hAnsi="仿宋" w:cs="仿宋_GB2312" w:hint="eastAsia"/>
          <w:szCs w:val="24"/>
        </w:rPr>
      </w:pPr>
      <w:r>
        <w:rPr>
          <w:rFonts w:ascii="仿宋" w:hAnsi="仿宋" w:cs="仿宋_GB2312" w:hint="eastAsia"/>
          <w:szCs w:val="24"/>
        </w:rPr>
        <w:lastRenderedPageBreak/>
        <w:t>13、预处置量每达到一吨，</w:t>
      </w:r>
      <w:proofErr w:type="gramStart"/>
      <w:r>
        <w:rPr>
          <w:rFonts w:ascii="仿宋" w:hAnsi="仿宋" w:cs="仿宋_GB2312" w:hint="eastAsia"/>
          <w:szCs w:val="24"/>
        </w:rPr>
        <w:t>供应商接采购</w:t>
      </w:r>
      <w:proofErr w:type="gramEnd"/>
      <w:r>
        <w:rPr>
          <w:rFonts w:ascii="仿宋" w:hAnsi="仿宋" w:cs="仿宋_GB2312" w:hint="eastAsia"/>
          <w:szCs w:val="24"/>
        </w:rPr>
        <w:t>人通知后按要求进行处置。</w:t>
      </w:r>
    </w:p>
    <w:tbl>
      <w:tblPr>
        <w:tblW w:w="5000" w:type="pct"/>
        <w:tblLook w:val="04A0" w:firstRow="1" w:lastRow="0" w:firstColumn="1" w:lastColumn="0" w:noHBand="0" w:noVBand="1"/>
      </w:tblPr>
      <w:tblGrid>
        <w:gridCol w:w="1537"/>
        <w:gridCol w:w="2579"/>
        <w:gridCol w:w="1223"/>
        <w:gridCol w:w="821"/>
        <w:gridCol w:w="2136"/>
      </w:tblGrid>
      <w:tr w:rsidR="003F5AD7" w14:paraId="070D6189" w14:textId="77777777" w:rsidTr="003F5AD7">
        <w:trPr>
          <w:trHeight w:val="742"/>
        </w:trPr>
        <w:tc>
          <w:tcPr>
            <w:tcW w:w="949" w:type="pct"/>
            <w:tcBorders>
              <w:top w:val="single" w:sz="4" w:space="0" w:color="auto"/>
              <w:left w:val="single" w:sz="4" w:space="0" w:color="auto"/>
              <w:bottom w:val="single" w:sz="4" w:space="0" w:color="auto"/>
              <w:right w:val="single" w:sz="4" w:space="0" w:color="auto"/>
            </w:tcBorders>
            <w:noWrap/>
            <w:vAlign w:val="center"/>
            <w:hideMark/>
          </w:tcPr>
          <w:p w14:paraId="26D217BB" w14:textId="77777777" w:rsidR="003F5AD7" w:rsidRDefault="003F5AD7">
            <w:pPr>
              <w:spacing w:line="240" w:lineRule="auto"/>
              <w:ind w:firstLineChars="0" w:firstLine="0"/>
              <w:jc w:val="center"/>
              <w:rPr>
                <w:rFonts w:ascii="Times New Roman" w:hAnsi="Times New Roman" w:hint="eastAsia"/>
                <w:b/>
                <w:bCs/>
                <w:kern w:val="0"/>
                <w:szCs w:val="24"/>
              </w:rPr>
            </w:pPr>
            <w:proofErr w:type="gramStart"/>
            <w:r>
              <w:rPr>
                <w:rFonts w:ascii="Times New Roman" w:hAnsi="Times New Roman" w:hint="eastAsia"/>
                <w:b/>
                <w:bCs/>
                <w:kern w:val="0"/>
                <w:szCs w:val="24"/>
              </w:rPr>
              <w:t>危废名称</w:t>
            </w:r>
            <w:proofErr w:type="gramEnd"/>
          </w:p>
        </w:tc>
        <w:tc>
          <w:tcPr>
            <w:tcW w:w="1577" w:type="pct"/>
            <w:tcBorders>
              <w:top w:val="single" w:sz="4" w:space="0" w:color="auto"/>
              <w:left w:val="nil"/>
              <w:bottom w:val="single" w:sz="4" w:space="0" w:color="auto"/>
              <w:right w:val="single" w:sz="4" w:space="0" w:color="auto"/>
            </w:tcBorders>
            <w:noWrap/>
            <w:vAlign w:val="center"/>
            <w:hideMark/>
          </w:tcPr>
          <w:p w14:paraId="64E530A8" w14:textId="77777777" w:rsidR="003F5AD7" w:rsidRDefault="003F5AD7">
            <w:pPr>
              <w:spacing w:line="240" w:lineRule="auto"/>
              <w:ind w:firstLineChars="0" w:firstLine="0"/>
              <w:jc w:val="center"/>
              <w:rPr>
                <w:rFonts w:ascii="Times New Roman" w:hAnsi="Times New Roman"/>
                <w:b/>
                <w:bCs/>
                <w:spacing w:val="-20"/>
                <w:kern w:val="0"/>
                <w:szCs w:val="24"/>
              </w:rPr>
            </w:pPr>
            <w:r>
              <w:rPr>
                <w:rFonts w:ascii="Times New Roman" w:hAnsi="Times New Roman" w:hint="eastAsia"/>
                <w:b/>
                <w:bCs/>
                <w:spacing w:val="-20"/>
                <w:kern w:val="0"/>
                <w:szCs w:val="24"/>
              </w:rPr>
              <w:t>代</w:t>
            </w:r>
            <w:r>
              <w:rPr>
                <w:rFonts w:ascii="Times New Roman" w:eastAsia="宋体" w:hAnsi="Times New Roman"/>
                <w:b/>
                <w:bCs/>
                <w:spacing w:val="-20"/>
                <w:kern w:val="0"/>
                <w:szCs w:val="24"/>
              </w:rPr>
              <w:t> </w:t>
            </w:r>
            <w:r>
              <w:rPr>
                <w:rFonts w:ascii="Times New Roman" w:hAnsi="Times New Roman" w:hint="eastAsia"/>
                <w:b/>
                <w:bCs/>
                <w:spacing w:val="-20"/>
                <w:kern w:val="0"/>
                <w:szCs w:val="24"/>
              </w:rPr>
              <w:t>码</w:t>
            </w:r>
          </w:p>
        </w:tc>
        <w:tc>
          <w:tcPr>
            <w:tcW w:w="760" w:type="pct"/>
            <w:tcBorders>
              <w:top w:val="single" w:sz="4" w:space="0" w:color="auto"/>
              <w:left w:val="nil"/>
              <w:bottom w:val="single" w:sz="4" w:space="0" w:color="auto"/>
              <w:right w:val="single" w:sz="4" w:space="0" w:color="auto"/>
            </w:tcBorders>
            <w:noWrap/>
            <w:vAlign w:val="center"/>
            <w:hideMark/>
          </w:tcPr>
          <w:p w14:paraId="4788810F" w14:textId="77777777" w:rsidR="003F5AD7" w:rsidRDefault="003F5AD7">
            <w:pPr>
              <w:spacing w:line="240" w:lineRule="auto"/>
              <w:ind w:firstLineChars="0" w:firstLine="0"/>
              <w:jc w:val="center"/>
              <w:rPr>
                <w:rFonts w:ascii="Times New Roman" w:hAnsi="Times New Roman"/>
                <w:b/>
                <w:bCs/>
                <w:kern w:val="0"/>
                <w:szCs w:val="24"/>
              </w:rPr>
            </w:pPr>
            <w:r>
              <w:rPr>
                <w:rFonts w:ascii="Times New Roman" w:hAnsi="Times New Roman" w:hint="eastAsia"/>
                <w:b/>
                <w:bCs/>
                <w:kern w:val="0"/>
                <w:szCs w:val="24"/>
              </w:rPr>
              <w:t>产生源</w:t>
            </w:r>
          </w:p>
        </w:tc>
        <w:tc>
          <w:tcPr>
            <w:tcW w:w="518" w:type="pct"/>
            <w:tcBorders>
              <w:top w:val="single" w:sz="4" w:space="0" w:color="auto"/>
              <w:left w:val="nil"/>
              <w:bottom w:val="single" w:sz="4" w:space="0" w:color="auto"/>
              <w:right w:val="single" w:sz="4" w:space="0" w:color="auto"/>
            </w:tcBorders>
            <w:noWrap/>
            <w:vAlign w:val="center"/>
            <w:hideMark/>
          </w:tcPr>
          <w:p w14:paraId="5ACC0918" w14:textId="77777777" w:rsidR="003F5AD7" w:rsidRDefault="003F5AD7">
            <w:pPr>
              <w:spacing w:line="240" w:lineRule="auto"/>
              <w:ind w:firstLineChars="0" w:firstLine="0"/>
              <w:jc w:val="center"/>
              <w:rPr>
                <w:rFonts w:ascii="Times New Roman" w:hAnsi="Times New Roman"/>
                <w:b/>
                <w:bCs/>
                <w:kern w:val="0"/>
                <w:szCs w:val="24"/>
              </w:rPr>
            </w:pPr>
            <w:r>
              <w:rPr>
                <w:rFonts w:ascii="Times New Roman" w:hAnsi="Times New Roman" w:hint="eastAsia"/>
                <w:b/>
                <w:bCs/>
                <w:kern w:val="0"/>
                <w:szCs w:val="24"/>
              </w:rPr>
              <w:t>形态</w:t>
            </w:r>
          </w:p>
        </w:tc>
        <w:tc>
          <w:tcPr>
            <w:tcW w:w="1196" w:type="pct"/>
            <w:tcBorders>
              <w:top w:val="single" w:sz="4" w:space="0" w:color="auto"/>
              <w:left w:val="nil"/>
              <w:bottom w:val="single" w:sz="4" w:space="0" w:color="auto"/>
              <w:right w:val="single" w:sz="4" w:space="0" w:color="auto"/>
            </w:tcBorders>
            <w:noWrap/>
            <w:vAlign w:val="center"/>
            <w:hideMark/>
          </w:tcPr>
          <w:p w14:paraId="6085C618" w14:textId="77777777" w:rsidR="003F5AD7" w:rsidRDefault="003F5AD7">
            <w:pPr>
              <w:spacing w:line="240" w:lineRule="auto"/>
              <w:ind w:firstLineChars="0" w:firstLine="0"/>
              <w:jc w:val="center"/>
              <w:rPr>
                <w:rFonts w:ascii="Times New Roman" w:hAnsi="Times New Roman"/>
                <w:b/>
                <w:bCs/>
                <w:kern w:val="0"/>
                <w:szCs w:val="24"/>
              </w:rPr>
            </w:pPr>
            <w:r>
              <w:rPr>
                <w:rFonts w:ascii="Times New Roman" w:hAnsi="Times New Roman" w:hint="eastAsia"/>
                <w:b/>
                <w:bCs/>
                <w:kern w:val="0"/>
                <w:szCs w:val="24"/>
              </w:rPr>
              <w:t>包装规格</w:t>
            </w:r>
          </w:p>
        </w:tc>
      </w:tr>
      <w:tr w:rsidR="003F5AD7" w14:paraId="18EE6839" w14:textId="77777777" w:rsidTr="003F5AD7">
        <w:trPr>
          <w:trHeight w:val="754"/>
        </w:trPr>
        <w:tc>
          <w:tcPr>
            <w:tcW w:w="949" w:type="pct"/>
            <w:tcBorders>
              <w:top w:val="single" w:sz="4" w:space="0" w:color="auto"/>
              <w:left w:val="single" w:sz="4" w:space="0" w:color="auto"/>
              <w:bottom w:val="single" w:sz="4" w:space="0" w:color="auto"/>
              <w:right w:val="single" w:sz="4" w:space="0" w:color="auto"/>
            </w:tcBorders>
            <w:noWrap/>
            <w:vAlign w:val="center"/>
            <w:hideMark/>
          </w:tcPr>
          <w:p w14:paraId="27637DF1" w14:textId="77777777" w:rsidR="003F5AD7" w:rsidRDefault="003F5AD7">
            <w:pPr>
              <w:spacing w:line="240" w:lineRule="auto"/>
              <w:ind w:firstLineChars="0" w:firstLine="0"/>
              <w:jc w:val="center"/>
              <w:rPr>
                <w:rFonts w:ascii="Times New Roman" w:hAnsi="Times New Roman"/>
                <w:color w:val="000000"/>
                <w:szCs w:val="24"/>
              </w:rPr>
            </w:pPr>
            <w:r>
              <w:rPr>
                <w:rFonts w:ascii="Times New Roman" w:hAnsi="Times New Roman" w:hint="eastAsia"/>
                <w:szCs w:val="24"/>
              </w:rPr>
              <w:t>实验室废液</w:t>
            </w:r>
          </w:p>
        </w:tc>
        <w:tc>
          <w:tcPr>
            <w:tcW w:w="1577" w:type="pct"/>
            <w:tcBorders>
              <w:top w:val="single" w:sz="4" w:space="0" w:color="auto"/>
              <w:left w:val="nil"/>
              <w:bottom w:val="single" w:sz="4" w:space="0" w:color="auto"/>
              <w:right w:val="single" w:sz="4" w:space="0" w:color="auto"/>
            </w:tcBorders>
            <w:noWrap/>
            <w:vAlign w:val="center"/>
            <w:hideMark/>
          </w:tcPr>
          <w:p w14:paraId="2EE350BB" w14:textId="77777777" w:rsidR="003F5AD7" w:rsidRDefault="003F5AD7">
            <w:pPr>
              <w:spacing w:line="240" w:lineRule="auto"/>
              <w:ind w:firstLineChars="0" w:firstLine="0"/>
              <w:jc w:val="center"/>
              <w:rPr>
                <w:rFonts w:ascii="Times New Roman" w:hAnsi="Times New Roman"/>
                <w:color w:val="000000"/>
                <w:szCs w:val="24"/>
              </w:rPr>
            </w:pPr>
            <w:r>
              <w:rPr>
                <w:rFonts w:ascii="Times New Roman" w:hAnsi="Times New Roman"/>
                <w:szCs w:val="24"/>
              </w:rPr>
              <w:t>HW49</w:t>
            </w:r>
            <w:r>
              <w:rPr>
                <w:rFonts w:ascii="Times New Roman" w:hAnsi="Times New Roman" w:hint="eastAsia"/>
                <w:szCs w:val="24"/>
              </w:rPr>
              <w:t>（</w:t>
            </w:r>
            <w:r>
              <w:rPr>
                <w:rFonts w:ascii="Times New Roman" w:hAnsi="Times New Roman"/>
                <w:szCs w:val="24"/>
              </w:rPr>
              <w:t>900-047-49</w:t>
            </w:r>
            <w:r>
              <w:rPr>
                <w:rFonts w:ascii="Times New Roman" w:hAnsi="Times New Roman" w:hint="eastAsia"/>
                <w:szCs w:val="24"/>
              </w:rPr>
              <w:t>）</w:t>
            </w:r>
          </w:p>
        </w:tc>
        <w:tc>
          <w:tcPr>
            <w:tcW w:w="760" w:type="pct"/>
            <w:tcBorders>
              <w:top w:val="single" w:sz="4" w:space="0" w:color="auto"/>
              <w:left w:val="nil"/>
              <w:bottom w:val="single" w:sz="4" w:space="0" w:color="auto"/>
              <w:right w:val="single" w:sz="4" w:space="0" w:color="auto"/>
            </w:tcBorders>
            <w:noWrap/>
            <w:vAlign w:val="center"/>
            <w:hideMark/>
          </w:tcPr>
          <w:p w14:paraId="619CE907" w14:textId="77777777" w:rsidR="003F5AD7" w:rsidRDefault="003F5AD7">
            <w:pPr>
              <w:spacing w:line="240" w:lineRule="auto"/>
              <w:ind w:firstLineChars="0" w:firstLine="0"/>
              <w:jc w:val="center"/>
              <w:rPr>
                <w:rFonts w:ascii="Times New Roman" w:hAnsi="Times New Roman"/>
                <w:kern w:val="0"/>
                <w:szCs w:val="24"/>
              </w:rPr>
            </w:pPr>
            <w:r>
              <w:rPr>
                <w:rFonts w:ascii="Times New Roman" w:hAnsi="Times New Roman" w:hint="eastAsia"/>
                <w:kern w:val="0"/>
                <w:szCs w:val="24"/>
              </w:rPr>
              <w:t>实验室</w:t>
            </w:r>
          </w:p>
        </w:tc>
        <w:tc>
          <w:tcPr>
            <w:tcW w:w="518" w:type="pct"/>
            <w:tcBorders>
              <w:top w:val="single" w:sz="4" w:space="0" w:color="auto"/>
              <w:left w:val="nil"/>
              <w:bottom w:val="single" w:sz="4" w:space="0" w:color="auto"/>
              <w:right w:val="single" w:sz="4" w:space="0" w:color="auto"/>
            </w:tcBorders>
            <w:noWrap/>
            <w:vAlign w:val="center"/>
            <w:hideMark/>
          </w:tcPr>
          <w:p w14:paraId="5BA49C3D" w14:textId="77777777" w:rsidR="003F5AD7" w:rsidRDefault="003F5AD7">
            <w:pPr>
              <w:spacing w:line="240" w:lineRule="auto"/>
              <w:ind w:firstLineChars="0" w:firstLine="0"/>
              <w:jc w:val="center"/>
              <w:rPr>
                <w:rFonts w:ascii="Times New Roman" w:hAnsi="Times New Roman"/>
                <w:kern w:val="0"/>
                <w:szCs w:val="24"/>
              </w:rPr>
            </w:pPr>
            <w:r>
              <w:rPr>
                <w:rFonts w:ascii="Times New Roman" w:hAnsi="Times New Roman" w:hint="eastAsia"/>
                <w:kern w:val="0"/>
                <w:szCs w:val="24"/>
              </w:rPr>
              <w:t>液态</w:t>
            </w:r>
          </w:p>
        </w:tc>
        <w:tc>
          <w:tcPr>
            <w:tcW w:w="1196" w:type="pct"/>
            <w:tcBorders>
              <w:top w:val="single" w:sz="4" w:space="0" w:color="auto"/>
              <w:left w:val="nil"/>
              <w:bottom w:val="single" w:sz="4" w:space="0" w:color="auto"/>
              <w:right w:val="single" w:sz="4" w:space="0" w:color="auto"/>
            </w:tcBorders>
            <w:noWrap/>
            <w:vAlign w:val="center"/>
            <w:hideMark/>
          </w:tcPr>
          <w:p w14:paraId="550AC32D" w14:textId="77777777" w:rsidR="003F5AD7" w:rsidRDefault="003F5AD7">
            <w:pPr>
              <w:spacing w:line="240" w:lineRule="auto"/>
              <w:ind w:firstLineChars="0" w:firstLine="0"/>
              <w:jc w:val="center"/>
              <w:rPr>
                <w:rFonts w:ascii="Times New Roman" w:hAnsi="Times New Roman"/>
                <w:kern w:val="0"/>
                <w:szCs w:val="24"/>
              </w:rPr>
            </w:pPr>
            <w:r>
              <w:rPr>
                <w:rFonts w:ascii="Times New Roman" w:hAnsi="Times New Roman" w:hint="eastAsia"/>
                <w:kern w:val="0"/>
                <w:szCs w:val="24"/>
              </w:rPr>
              <w:t>塑料桶、玻璃瓶装</w:t>
            </w:r>
          </w:p>
        </w:tc>
      </w:tr>
      <w:tr w:rsidR="003F5AD7" w14:paraId="22D915A5" w14:textId="77777777" w:rsidTr="003F5AD7">
        <w:trPr>
          <w:trHeight w:val="754"/>
        </w:trPr>
        <w:tc>
          <w:tcPr>
            <w:tcW w:w="949" w:type="pct"/>
            <w:tcBorders>
              <w:top w:val="single" w:sz="4" w:space="0" w:color="auto"/>
              <w:left w:val="single" w:sz="4" w:space="0" w:color="auto"/>
              <w:bottom w:val="single" w:sz="4" w:space="0" w:color="auto"/>
              <w:right w:val="single" w:sz="4" w:space="0" w:color="auto"/>
            </w:tcBorders>
            <w:noWrap/>
            <w:vAlign w:val="center"/>
            <w:hideMark/>
          </w:tcPr>
          <w:p w14:paraId="0D210224" w14:textId="77777777" w:rsidR="003F5AD7" w:rsidRDefault="003F5AD7">
            <w:pPr>
              <w:spacing w:line="240" w:lineRule="auto"/>
              <w:ind w:firstLineChars="0" w:firstLine="0"/>
              <w:jc w:val="center"/>
              <w:rPr>
                <w:rFonts w:ascii="Times New Roman" w:hAnsi="Times New Roman"/>
                <w:szCs w:val="24"/>
              </w:rPr>
            </w:pPr>
            <w:r>
              <w:rPr>
                <w:rFonts w:ascii="Times New Roman" w:hAnsi="Times New Roman" w:hint="eastAsia"/>
                <w:szCs w:val="24"/>
              </w:rPr>
              <w:t>实验室废瓶</w:t>
            </w:r>
          </w:p>
        </w:tc>
        <w:tc>
          <w:tcPr>
            <w:tcW w:w="1577" w:type="pct"/>
            <w:tcBorders>
              <w:top w:val="single" w:sz="4" w:space="0" w:color="auto"/>
              <w:left w:val="nil"/>
              <w:bottom w:val="single" w:sz="4" w:space="0" w:color="auto"/>
              <w:right w:val="single" w:sz="4" w:space="0" w:color="auto"/>
            </w:tcBorders>
            <w:noWrap/>
            <w:vAlign w:val="center"/>
            <w:hideMark/>
          </w:tcPr>
          <w:p w14:paraId="465BD1BB" w14:textId="77777777" w:rsidR="003F5AD7" w:rsidRDefault="003F5AD7">
            <w:pPr>
              <w:spacing w:line="240" w:lineRule="auto"/>
              <w:ind w:firstLineChars="0" w:firstLine="0"/>
              <w:jc w:val="center"/>
              <w:rPr>
                <w:rFonts w:ascii="Times New Roman" w:hAnsi="Times New Roman"/>
                <w:szCs w:val="24"/>
              </w:rPr>
            </w:pPr>
            <w:r>
              <w:rPr>
                <w:rFonts w:ascii="Times New Roman" w:hAnsi="Times New Roman"/>
                <w:szCs w:val="24"/>
              </w:rPr>
              <w:t>HW49</w:t>
            </w:r>
            <w:r>
              <w:rPr>
                <w:rFonts w:ascii="Times New Roman" w:hAnsi="Times New Roman" w:hint="eastAsia"/>
                <w:szCs w:val="24"/>
              </w:rPr>
              <w:t>（</w:t>
            </w:r>
            <w:r>
              <w:rPr>
                <w:rFonts w:ascii="Times New Roman" w:hAnsi="Times New Roman"/>
                <w:szCs w:val="24"/>
              </w:rPr>
              <w:t>900-041-49</w:t>
            </w:r>
            <w:r>
              <w:rPr>
                <w:rFonts w:ascii="Times New Roman" w:hAnsi="Times New Roman" w:hint="eastAsia"/>
                <w:szCs w:val="24"/>
              </w:rPr>
              <w:t>）</w:t>
            </w:r>
          </w:p>
        </w:tc>
        <w:tc>
          <w:tcPr>
            <w:tcW w:w="760" w:type="pct"/>
            <w:tcBorders>
              <w:top w:val="single" w:sz="4" w:space="0" w:color="auto"/>
              <w:left w:val="nil"/>
              <w:bottom w:val="single" w:sz="4" w:space="0" w:color="auto"/>
              <w:right w:val="single" w:sz="4" w:space="0" w:color="auto"/>
            </w:tcBorders>
            <w:noWrap/>
            <w:vAlign w:val="center"/>
            <w:hideMark/>
          </w:tcPr>
          <w:p w14:paraId="4B89C4AE" w14:textId="77777777" w:rsidR="003F5AD7" w:rsidRDefault="003F5AD7">
            <w:pPr>
              <w:spacing w:line="240" w:lineRule="auto"/>
              <w:ind w:firstLineChars="0" w:firstLine="0"/>
              <w:jc w:val="center"/>
              <w:rPr>
                <w:rFonts w:ascii="Times New Roman" w:hAnsi="Times New Roman"/>
                <w:kern w:val="0"/>
                <w:szCs w:val="24"/>
              </w:rPr>
            </w:pPr>
            <w:r>
              <w:rPr>
                <w:rFonts w:ascii="Times New Roman" w:hAnsi="Times New Roman" w:hint="eastAsia"/>
                <w:kern w:val="0"/>
                <w:szCs w:val="24"/>
              </w:rPr>
              <w:t>实验室</w:t>
            </w:r>
          </w:p>
        </w:tc>
        <w:tc>
          <w:tcPr>
            <w:tcW w:w="518" w:type="pct"/>
            <w:tcBorders>
              <w:top w:val="single" w:sz="4" w:space="0" w:color="auto"/>
              <w:left w:val="nil"/>
              <w:bottom w:val="single" w:sz="4" w:space="0" w:color="auto"/>
              <w:right w:val="single" w:sz="4" w:space="0" w:color="auto"/>
            </w:tcBorders>
            <w:noWrap/>
            <w:vAlign w:val="center"/>
            <w:hideMark/>
          </w:tcPr>
          <w:p w14:paraId="7F4B2791" w14:textId="77777777" w:rsidR="003F5AD7" w:rsidRDefault="003F5AD7">
            <w:pPr>
              <w:spacing w:line="240" w:lineRule="auto"/>
              <w:ind w:firstLineChars="0" w:firstLine="0"/>
              <w:jc w:val="center"/>
              <w:rPr>
                <w:rFonts w:ascii="Times New Roman" w:hAnsi="Times New Roman"/>
                <w:kern w:val="0"/>
                <w:szCs w:val="24"/>
              </w:rPr>
            </w:pPr>
            <w:r>
              <w:rPr>
                <w:rFonts w:ascii="Times New Roman" w:hAnsi="Times New Roman" w:hint="eastAsia"/>
                <w:kern w:val="0"/>
                <w:szCs w:val="24"/>
              </w:rPr>
              <w:t>固态</w:t>
            </w:r>
          </w:p>
        </w:tc>
        <w:tc>
          <w:tcPr>
            <w:tcW w:w="1196" w:type="pct"/>
            <w:tcBorders>
              <w:top w:val="single" w:sz="4" w:space="0" w:color="auto"/>
              <w:left w:val="nil"/>
              <w:bottom w:val="single" w:sz="4" w:space="0" w:color="auto"/>
              <w:right w:val="single" w:sz="4" w:space="0" w:color="auto"/>
            </w:tcBorders>
            <w:noWrap/>
            <w:vAlign w:val="center"/>
            <w:hideMark/>
          </w:tcPr>
          <w:p w14:paraId="0139D626" w14:textId="77777777" w:rsidR="003F5AD7" w:rsidRDefault="003F5AD7">
            <w:pPr>
              <w:spacing w:line="240" w:lineRule="auto"/>
              <w:ind w:firstLineChars="0" w:firstLine="0"/>
              <w:jc w:val="center"/>
              <w:rPr>
                <w:rFonts w:ascii="Times New Roman" w:hAnsi="Times New Roman"/>
                <w:kern w:val="0"/>
                <w:szCs w:val="24"/>
              </w:rPr>
            </w:pPr>
            <w:r>
              <w:rPr>
                <w:rFonts w:ascii="Times New Roman" w:hAnsi="Times New Roman" w:hint="eastAsia"/>
                <w:kern w:val="0"/>
                <w:szCs w:val="24"/>
              </w:rPr>
              <w:t>袋装</w:t>
            </w:r>
          </w:p>
        </w:tc>
      </w:tr>
    </w:tbl>
    <w:p w14:paraId="14E50F1C" w14:textId="77777777" w:rsidR="001765BC" w:rsidRDefault="001765BC">
      <w:pPr>
        <w:ind w:firstLine="480"/>
      </w:pPr>
    </w:p>
    <w:sectPr w:rsidR="001765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A5C"/>
    <w:rsid w:val="001765BC"/>
    <w:rsid w:val="003F5AD7"/>
    <w:rsid w:val="00812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2A5D"/>
  <w15:chartTrackingRefBased/>
  <w15:docId w15:val="{7285FE05-E098-434B-B5D9-4E90B275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AD7"/>
    <w:pPr>
      <w:widowControl w:val="0"/>
      <w:spacing w:line="360" w:lineRule="auto"/>
      <w:ind w:firstLineChars="200" w:firstLine="200"/>
    </w:pPr>
    <w:rPr>
      <w:rFonts w:ascii="Calibri" w:eastAsia="仿宋" w:hAnsi="Calibr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3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龙龙</dc:creator>
  <cp:keywords/>
  <dc:description/>
  <cp:lastModifiedBy>王 龙龙</cp:lastModifiedBy>
  <cp:revision>2</cp:revision>
  <dcterms:created xsi:type="dcterms:W3CDTF">2022-04-20T08:55:00Z</dcterms:created>
  <dcterms:modified xsi:type="dcterms:W3CDTF">2022-04-20T08:55:00Z</dcterms:modified>
</cp:coreProperties>
</file>