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bookmarkStart w:id="0" w:name="_Toc89787722"/>
      <w:r>
        <w:rPr>
          <w:rFonts w:hint="eastAsia" w:ascii="Times New Roman" w:hAnsi="Times New Roman"/>
          <w:b/>
          <w:sz w:val="32"/>
          <w:szCs w:val="32"/>
        </w:rPr>
        <w:t xml:space="preserve">  技术要求及说明</w:t>
      </w:r>
      <w:bookmarkEnd w:id="0"/>
    </w:p>
    <w:p>
      <w:pPr>
        <w:pStyle w:val="8"/>
        <w:spacing w:line="360" w:lineRule="auto"/>
        <w:ind w:firstLine="0" w:firstLineChars="0"/>
        <w:rPr>
          <w:rFonts w:ascii="仿宋" w:hAnsi="仿宋" w:cs="仿宋"/>
          <w:b/>
          <w:szCs w:val="24"/>
        </w:rPr>
      </w:pPr>
      <w:bookmarkStart w:id="1" w:name="_Toc78811469"/>
      <w:r>
        <w:rPr>
          <w:rFonts w:hint="eastAsia" w:ascii="仿宋" w:hAnsi="仿宋" w:cs="仿宋"/>
          <w:b/>
          <w:szCs w:val="24"/>
        </w:rPr>
        <w:t>一、</w:t>
      </w:r>
      <w:bookmarkEnd w:id="1"/>
      <w:bookmarkStart w:id="2" w:name="_Toc17664921"/>
      <w:bookmarkStart w:id="3" w:name="_Toc78811470"/>
      <w:r>
        <w:rPr>
          <w:rFonts w:hint="eastAsia" w:ascii="仿宋" w:hAnsi="仿宋" w:cs="仿宋"/>
          <w:b/>
          <w:szCs w:val="24"/>
        </w:rPr>
        <w:t>分包明细表</w:t>
      </w:r>
      <w:bookmarkEnd w:id="2"/>
      <w:bookmarkEnd w:id="3"/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3528"/>
        <w:gridCol w:w="2245"/>
        <w:gridCol w:w="2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2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bookmarkStart w:id="4" w:name="_Hlk9191781"/>
            <w:r>
              <w:rPr>
                <w:rFonts w:ascii="Times New Roman" w:hAnsi="Times New Roman"/>
                <w:b/>
                <w:bCs/>
                <w:szCs w:val="24"/>
              </w:rPr>
              <w:t>包号</w:t>
            </w:r>
          </w:p>
        </w:tc>
        <w:tc>
          <w:tcPr>
            <w:tcW w:w="17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分包名称</w:t>
            </w:r>
          </w:p>
        </w:tc>
        <w:tc>
          <w:tcPr>
            <w:tcW w:w="11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Cs w:val="24"/>
              </w:rPr>
              <w:t>数量及单位</w:t>
            </w:r>
          </w:p>
        </w:tc>
        <w:tc>
          <w:tcPr>
            <w:tcW w:w="144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是否允许进口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1</w:t>
            </w:r>
          </w:p>
        </w:tc>
        <w:tc>
          <w:tcPr>
            <w:tcW w:w="1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生物阅读器及配套耗材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1套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是</w:t>
            </w:r>
          </w:p>
        </w:tc>
      </w:tr>
      <w:bookmarkEnd w:id="4"/>
    </w:tbl>
    <w:p>
      <w:pPr>
        <w:pStyle w:val="8"/>
        <w:spacing w:line="360" w:lineRule="auto"/>
        <w:ind w:firstLine="0" w:firstLineChars="0"/>
        <w:rPr>
          <w:rFonts w:ascii="仿宋" w:hAnsi="仿宋" w:cs="仿宋"/>
          <w:b/>
          <w:szCs w:val="24"/>
        </w:rPr>
      </w:pPr>
      <w:bookmarkStart w:id="5" w:name="_Toc78811471"/>
      <w:r>
        <w:rPr>
          <w:rFonts w:hint="eastAsia" w:ascii="仿宋" w:hAnsi="仿宋" w:cs="仿宋"/>
          <w:b/>
          <w:szCs w:val="24"/>
        </w:rPr>
        <w:t>二、使用场景及技术参数要求</w:t>
      </w:r>
      <w:bookmarkEnd w:id="5"/>
    </w:p>
    <w:p>
      <w:pPr>
        <w:ind w:firstLine="0" w:firstLineChars="0"/>
        <w:rPr>
          <w:rFonts w:ascii="仿宋" w:hAnsi="仿宋" w:cs="宋体"/>
          <w:szCs w:val="24"/>
        </w:rPr>
      </w:pPr>
      <w:r>
        <w:rPr>
          <w:rFonts w:hint="eastAsia" w:ascii="仿宋" w:hAnsi="仿宋" w:cs="宋体"/>
          <w:szCs w:val="24"/>
        </w:rPr>
        <w:t>（一）适用于医院高温高压蒸汽灭菌过程的生物监测。</w:t>
      </w:r>
    </w:p>
    <w:p>
      <w:pPr>
        <w:ind w:firstLine="0" w:firstLineChars="0"/>
        <w:rPr>
          <w:rFonts w:ascii="仿宋" w:hAnsi="仿宋" w:cs="宋体"/>
          <w:szCs w:val="24"/>
        </w:rPr>
      </w:pPr>
      <w:r>
        <w:rPr>
          <w:rFonts w:hint="eastAsia" w:ascii="仿宋" w:hAnsi="仿宋" w:cs="宋体"/>
          <w:szCs w:val="24"/>
        </w:rPr>
        <w:t>（二）设备技术参数要求</w:t>
      </w:r>
    </w:p>
    <w:p>
      <w:pPr>
        <w:ind w:firstLine="0" w:firstLineChars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1.生物灭菌监测</w:t>
      </w:r>
      <w:r>
        <w:rPr>
          <w:rFonts w:ascii="Times New Roman" w:hAnsi="Times New Roman" w:eastAsia="宋体"/>
          <w:szCs w:val="24"/>
        </w:rPr>
        <w:t> </w:t>
      </w:r>
      <w:r>
        <w:rPr>
          <w:rFonts w:ascii="Times New Roman" w:hAnsi="Times New Roman"/>
          <w:szCs w:val="24"/>
        </w:rPr>
        <w:t>：用于121℃下排气高温蒸汽灭菌和132℃预真空高温蒸汽灭菌的快速生物培养，灭菌过程负荷监测</w:t>
      </w:r>
      <w:r>
        <w:rPr>
          <w:rFonts w:hint="eastAsia" w:ascii="Times New Roman" w:hAnsi="Times New Roman"/>
          <w:szCs w:val="24"/>
        </w:rPr>
        <w:t>；</w:t>
      </w:r>
    </w:p>
    <w:p>
      <w:pPr>
        <w:ind w:firstLine="0" w:firstLineChars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2.快速生物阅读器功能：在最短时间发现灭菌问题，及时召回灭菌不合格物品，降低器械灭</w:t>
      </w:r>
      <w:bookmarkStart w:id="6" w:name="_GoBack"/>
      <w:bookmarkEnd w:id="6"/>
      <w:r>
        <w:rPr>
          <w:rFonts w:ascii="Times New Roman" w:hAnsi="Times New Roman"/>
          <w:szCs w:val="24"/>
        </w:rPr>
        <w:t>菌失败风险，减少外科感染成本</w:t>
      </w:r>
      <w:r>
        <w:rPr>
          <w:rFonts w:hint="eastAsia" w:ascii="Times New Roman" w:hAnsi="Times New Roman"/>
          <w:szCs w:val="24"/>
        </w:rPr>
        <w:t>；</w:t>
      </w:r>
    </w:p>
    <w:p>
      <w:pPr>
        <w:ind w:firstLine="0" w:firstLineChars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3.培养时间</w:t>
      </w:r>
      <w:r>
        <w:rPr>
          <w:rFonts w:ascii="仿宋" w:hAnsi="仿宋"/>
          <w:szCs w:val="24"/>
        </w:rPr>
        <w:t>≤</w:t>
      </w:r>
      <w:r>
        <w:rPr>
          <w:rFonts w:ascii="Times New Roman" w:hAnsi="Times New Roman"/>
          <w:szCs w:val="24"/>
        </w:rPr>
        <w:t>35min，判读时间（阳性）</w:t>
      </w:r>
      <w:r>
        <w:rPr>
          <w:rFonts w:ascii="仿宋" w:hAnsi="仿宋"/>
          <w:szCs w:val="24"/>
        </w:rPr>
        <w:t>≤</w:t>
      </w:r>
      <w:r>
        <w:rPr>
          <w:rFonts w:ascii="Times New Roman" w:hAnsi="Times New Roman"/>
          <w:szCs w:val="24"/>
        </w:rPr>
        <w:t>5min，判读时间（阴性）</w:t>
      </w:r>
      <w:r>
        <w:rPr>
          <w:rFonts w:ascii="仿宋" w:hAnsi="仿宋"/>
          <w:szCs w:val="24"/>
        </w:rPr>
        <w:t>≤</w:t>
      </w:r>
      <w:r>
        <w:rPr>
          <w:rFonts w:ascii="Times New Roman" w:hAnsi="Times New Roman"/>
          <w:szCs w:val="24"/>
        </w:rPr>
        <w:t>30min</w:t>
      </w:r>
      <w:r>
        <w:rPr>
          <w:rFonts w:hint="eastAsia" w:ascii="Times New Roman" w:hAnsi="Times New Roman"/>
          <w:szCs w:val="24"/>
        </w:rPr>
        <w:t>；</w:t>
      </w:r>
    </w:p>
    <w:p>
      <w:pPr>
        <w:ind w:firstLine="0" w:firstLineChars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4.培养孔数目</w:t>
      </w:r>
      <w:r>
        <w:rPr>
          <w:rFonts w:ascii="仿宋" w:hAnsi="仿宋"/>
          <w:szCs w:val="24"/>
        </w:rPr>
        <w:t>≥</w:t>
      </w:r>
      <w:r>
        <w:rPr>
          <w:rFonts w:ascii="Times New Roman" w:hAnsi="Times New Roman"/>
          <w:szCs w:val="24"/>
        </w:rPr>
        <w:t>10个</w:t>
      </w:r>
      <w:r>
        <w:rPr>
          <w:rFonts w:hint="eastAsia" w:ascii="Times New Roman" w:hAnsi="Times New Roman"/>
          <w:szCs w:val="24"/>
        </w:rPr>
        <w:t>；</w:t>
      </w:r>
    </w:p>
    <w:p>
      <w:pPr>
        <w:tabs>
          <w:tab w:val="left" w:pos="3103"/>
        </w:tabs>
        <w:ind w:firstLine="0" w:firstLineChars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5.网络功能：支持以太网，用web app与电脑连接；</w:t>
      </w:r>
    </w:p>
    <w:p>
      <w:pPr>
        <w:tabs>
          <w:tab w:val="left" w:pos="3103"/>
        </w:tabs>
        <w:ind w:firstLine="0" w:firstLineChars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6.培养温度：约56℃；</w:t>
      </w:r>
    </w:p>
    <w:p>
      <w:pPr>
        <w:tabs>
          <w:tab w:val="left" w:pos="3103"/>
        </w:tabs>
        <w:ind w:firstLine="0" w:firstLineChars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7.防尘功能：机器自带防尘盖；</w:t>
      </w:r>
    </w:p>
    <w:p>
      <w:pPr>
        <w:tabs>
          <w:tab w:val="left" w:pos="3103"/>
        </w:tabs>
        <w:ind w:firstLine="0" w:firstLineChars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8.阅读界面：中文阅读界面；</w:t>
      </w:r>
    </w:p>
    <w:p>
      <w:pPr>
        <w:tabs>
          <w:tab w:val="left" w:pos="3103"/>
        </w:tabs>
        <w:ind w:firstLine="0" w:firstLineChars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9.</w:t>
      </w:r>
      <w:r>
        <w:rPr>
          <w:rFonts w:hint="eastAsia" w:ascii="Times New Roman" w:hAnsi="Times New Roman"/>
          <w:szCs w:val="24"/>
        </w:rPr>
        <w:t>随机配置</w:t>
      </w:r>
      <w:r>
        <w:rPr>
          <w:rFonts w:ascii="Times New Roman" w:hAnsi="Times New Roman"/>
          <w:szCs w:val="24"/>
        </w:rPr>
        <w:t>生物指示物</w:t>
      </w:r>
      <w:r>
        <w:rPr>
          <w:rFonts w:ascii="仿宋" w:hAnsi="仿宋"/>
          <w:szCs w:val="24"/>
        </w:rPr>
        <w:t>≥</w:t>
      </w:r>
      <w:r>
        <w:rPr>
          <w:rFonts w:ascii="Times New Roman" w:hAnsi="Times New Roman"/>
          <w:szCs w:val="24"/>
        </w:rPr>
        <w:t>30次测试；</w:t>
      </w:r>
    </w:p>
    <w:p>
      <w:pPr>
        <w:ind w:firstLine="0" w:firstLineChars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10.具备培养结果自动打印功能</w:t>
      </w:r>
      <w:r>
        <w:rPr>
          <w:rFonts w:hint="eastAsia" w:ascii="Times New Roman" w:hAnsi="Times New Roman"/>
          <w:szCs w:val="24"/>
        </w:rPr>
        <w:t>；</w:t>
      </w:r>
    </w:p>
    <w:p>
      <w:pPr>
        <w:ind w:firstLine="0" w:firstLineChars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11.具备自动保存记录功能。</w:t>
      </w:r>
    </w:p>
    <w:p>
      <w:pPr>
        <w:pStyle w:val="8"/>
        <w:spacing w:line="360" w:lineRule="auto"/>
        <w:ind w:firstLine="0" w:firstLineChars="0"/>
        <w:rPr>
          <w:rFonts w:ascii="Times New Roman" w:hAnsi="Times New Roman"/>
          <w:b/>
          <w:szCs w:val="24"/>
        </w:rPr>
      </w:pPr>
      <w:r>
        <w:rPr>
          <w:rFonts w:hint="eastAsia" w:ascii="仿宋" w:hAnsi="仿宋" w:cs="仿宋"/>
          <w:b/>
          <w:szCs w:val="24"/>
        </w:rPr>
        <w:t>三、</w:t>
      </w:r>
      <w:r>
        <w:rPr>
          <w:rFonts w:hint="eastAsia" w:ascii="Times New Roman" w:hAnsi="Times New Roman"/>
          <w:b/>
          <w:szCs w:val="24"/>
        </w:rPr>
        <w:t>售后服务及其他</w:t>
      </w:r>
    </w:p>
    <w:p>
      <w:pPr>
        <w:pStyle w:val="8"/>
        <w:spacing w:line="360" w:lineRule="auto"/>
        <w:ind w:firstLine="0" w:firstLineChars="0"/>
        <w:rPr>
          <w:rFonts w:ascii="Times New Roman" w:hAnsi="Times New Roman"/>
          <w:bCs/>
          <w:szCs w:val="24"/>
        </w:rPr>
      </w:pPr>
      <w:r>
        <w:rPr>
          <w:rFonts w:hint="eastAsia" w:ascii="Times New Roman" w:hAnsi="Times New Roman"/>
          <w:bCs/>
          <w:szCs w:val="24"/>
        </w:rPr>
        <w:t>1.整机终身免费保修，每半年免费巡检维护一次;</w:t>
      </w:r>
    </w:p>
    <w:p>
      <w:pPr>
        <w:pStyle w:val="8"/>
        <w:spacing w:line="360" w:lineRule="auto"/>
        <w:ind w:firstLine="0" w:firstLineChars="0"/>
        <w:rPr>
          <w:rFonts w:ascii="Times New Roman" w:hAnsi="Times New Roman"/>
          <w:bCs/>
          <w:szCs w:val="24"/>
        </w:rPr>
      </w:pPr>
      <w:r>
        <w:rPr>
          <w:rFonts w:hint="eastAsia" w:ascii="Times New Roman" w:hAnsi="Times New Roman"/>
          <w:bCs/>
          <w:szCs w:val="24"/>
        </w:rPr>
        <w:t>2.根据医院要求进行安装、使用维护培训;</w:t>
      </w:r>
    </w:p>
    <w:p>
      <w:pPr>
        <w:pStyle w:val="8"/>
        <w:spacing w:line="360" w:lineRule="auto"/>
        <w:ind w:firstLine="0" w:firstLineChars="0"/>
        <w:rPr>
          <w:rFonts w:ascii="Times New Roman" w:hAnsi="Times New Roman"/>
          <w:bCs/>
          <w:szCs w:val="24"/>
        </w:rPr>
      </w:pPr>
      <w:r>
        <w:rPr>
          <w:rFonts w:hint="eastAsia" w:ascii="Times New Roman" w:hAnsi="Times New Roman"/>
          <w:bCs/>
          <w:szCs w:val="24"/>
        </w:rPr>
        <w:t>3.软件终身免费升级;</w:t>
      </w:r>
    </w:p>
    <w:p>
      <w:pPr>
        <w:pStyle w:val="8"/>
        <w:spacing w:line="360" w:lineRule="auto"/>
        <w:ind w:firstLine="0" w:firstLineChars="0"/>
        <w:rPr>
          <w:rFonts w:ascii="Times New Roman" w:hAnsi="Times New Roman"/>
          <w:bCs/>
          <w:szCs w:val="24"/>
        </w:rPr>
      </w:pPr>
      <w:r>
        <w:rPr>
          <w:rFonts w:hint="eastAsia" w:ascii="Times New Roman" w:hAnsi="Times New Roman"/>
          <w:bCs/>
          <w:szCs w:val="24"/>
        </w:rPr>
        <w:t>4.根据医院要求连接信息系统并承担费用;</w:t>
      </w:r>
    </w:p>
    <w:p>
      <w:pPr>
        <w:pStyle w:val="8"/>
        <w:spacing w:line="360" w:lineRule="auto"/>
        <w:ind w:firstLine="0" w:firstLineChars="0"/>
        <w:rPr>
          <w:rFonts w:ascii="Times New Roman" w:hAnsi="Times New Roman"/>
          <w:bCs/>
          <w:szCs w:val="24"/>
        </w:rPr>
      </w:pPr>
      <w:r>
        <w:rPr>
          <w:rFonts w:hint="eastAsia" w:ascii="Times New Roman" w:hAnsi="Times New Roman"/>
          <w:bCs/>
          <w:szCs w:val="24"/>
        </w:rPr>
        <w:t>5.设备故障免费提供备用机。</w:t>
      </w:r>
    </w:p>
    <w:p>
      <w:pPr>
        <w:ind w:firstLine="0" w:firstLineChars="0"/>
        <w:rPr>
          <w:rFonts w:ascii="仿宋" w:hAnsi="仿宋"/>
          <w:b/>
          <w:szCs w:val="24"/>
        </w:rPr>
      </w:pPr>
      <w:r>
        <w:rPr>
          <w:rFonts w:hint="eastAsia" w:ascii="仿宋" w:hAnsi="仿宋"/>
          <w:b/>
          <w:szCs w:val="24"/>
        </w:rPr>
        <w:t>四、配套耗材</w:t>
      </w:r>
    </w:p>
    <w:p>
      <w:pPr>
        <w:ind w:firstLine="0" w:firstLineChars="0"/>
        <w:rPr>
          <w:rFonts w:ascii="仿宋" w:hAnsi="仿宋"/>
          <w:bCs/>
          <w:szCs w:val="24"/>
        </w:rPr>
      </w:pPr>
      <w:r>
        <w:rPr>
          <w:rFonts w:hint="eastAsia" w:ascii="仿宋" w:hAnsi="仿宋"/>
          <w:bCs/>
          <w:szCs w:val="24"/>
        </w:rPr>
        <w:t>1.能够满足紧急植入物监测需要，具备有效卫生安全评价报告并提供。</w:t>
      </w:r>
    </w:p>
    <w:p>
      <w:pPr>
        <w:pStyle w:val="2"/>
        <w:ind w:left="146" w:leftChars="20" w:hanging="98" w:hangingChars="41"/>
        <w:rPr>
          <w:highlight w:val="yellow"/>
        </w:rPr>
      </w:pPr>
    </w:p>
    <w:p>
      <w:pPr>
        <w:ind w:firstLine="0" w:firstLineChars="0"/>
        <w:rPr>
          <w:rFonts w:ascii="仿宋" w:hAnsi="仿宋"/>
          <w:bCs/>
          <w:szCs w:val="24"/>
        </w:rPr>
      </w:pPr>
      <w:r>
        <w:rPr>
          <w:rFonts w:hint="eastAsia" w:ascii="仿宋" w:hAnsi="仿宋"/>
          <w:bCs/>
          <w:szCs w:val="24"/>
        </w:rPr>
        <w:t>2.耗材报价信息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231"/>
        <w:gridCol w:w="1231"/>
        <w:gridCol w:w="1231"/>
        <w:gridCol w:w="1231"/>
        <w:gridCol w:w="1231"/>
        <w:gridCol w:w="1231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bCs/>
                <w:szCs w:val="24"/>
              </w:rPr>
            </w:pPr>
            <w:r>
              <w:rPr>
                <w:rFonts w:hint="eastAsia" w:ascii="仿宋" w:hAnsi="仿宋"/>
                <w:bCs/>
                <w:szCs w:val="24"/>
              </w:rPr>
              <w:t>耗材名称</w:t>
            </w:r>
          </w:p>
        </w:tc>
        <w:tc>
          <w:tcPr>
            <w:tcW w:w="1231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bCs/>
                <w:szCs w:val="24"/>
              </w:rPr>
            </w:pPr>
            <w:r>
              <w:rPr>
                <w:rFonts w:hint="eastAsia" w:ascii="仿宋" w:hAnsi="仿宋"/>
                <w:bCs/>
                <w:szCs w:val="24"/>
              </w:rPr>
              <w:t>规格型号</w:t>
            </w:r>
          </w:p>
        </w:tc>
        <w:tc>
          <w:tcPr>
            <w:tcW w:w="1231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bCs/>
                <w:szCs w:val="24"/>
              </w:rPr>
            </w:pPr>
            <w:r>
              <w:rPr>
                <w:rFonts w:hint="eastAsia" w:ascii="仿宋" w:hAnsi="仿宋"/>
                <w:bCs/>
                <w:szCs w:val="24"/>
              </w:rPr>
              <w:t>包装</w:t>
            </w:r>
          </w:p>
        </w:tc>
        <w:tc>
          <w:tcPr>
            <w:tcW w:w="1231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bCs/>
                <w:szCs w:val="24"/>
              </w:rPr>
            </w:pPr>
            <w:r>
              <w:rPr>
                <w:rFonts w:hint="eastAsia" w:ascii="仿宋" w:hAnsi="仿宋"/>
                <w:bCs/>
                <w:szCs w:val="24"/>
              </w:rPr>
              <w:t>生产厂家</w:t>
            </w:r>
          </w:p>
        </w:tc>
        <w:tc>
          <w:tcPr>
            <w:tcW w:w="1231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bCs/>
                <w:szCs w:val="24"/>
              </w:rPr>
            </w:pPr>
            <w:r>
              <w:rPr>
                <w:rFonts w:hint="eastAsia" w:ascii="仿宋" w:hAnsi="仿宋"/>
                <w:bCs/>
                <w:szCs w:val="24"/>
              </w:rPr>
              <w:t>预计年使用量</w:t>
            </w:r>
          </w:p>
        </w:tc>
        <w:tc>
          <w:tcPr>
            <w:tcW w:w="1231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bCs/>
                <w:szCs w:val="24"/>
              </w:rPr>
            </w:pPr>
            <w:r>
              <w:rPr>
                <w:rFonts w:hint="eastAsia" w:ascii="仿宋" w:hAnsi="仿宋"/>
                <w:bCs/>
                <w:szCs w:val="24"/>
              </w:rPr>
              <w:t>单次测试费用（元）</w:t>
            </w:r>
          </w:p>
        </w:tc>
        <w:tc>
          <w:tcPr>
            <w:tcW w:w="1231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bCs/>
                <w:szCs w:val="24"/>
              </w:rPr>
            </w:pPr>
            <w:r>
              <w:rPr>
                <w:rFonts w:hint="eastAsia" w:ascii="仿宋" w:hAnsi="仿宋"/>
                <w:bCs/>
                <w:szCs w:val="24"/>
              </w:rPr>
              <w:t>合计（元 ）</w:t>
            </w:r>
          </w:p>
        </w:tc>
        <w:tc>
          <w:tcPr>
            <w:tcW w:w="1231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bCs/>
                <w:szCs w:val="24"/>
              </w:rPr>
            </w:pPr>
            <w:r>
              <w:rPr>
                <w:rFonts w:hint="eastAsia" w:ascii="仿宋" w:hAnsi="仿宋"/>
                <w:bCs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ind w:firstLine="0" w:firstLineChars="0"/>
              <w:jc w:val="both"/>
              <w:rPr>
                <w:rFonts w:ascii="仿宋" w:hAnsi="仿宋"/>
                <w:bCs/>
                <w:szCs w:val="24"/>
              </w:rPr>
            </w:pPr>
          </w:p>
        </w:tc>
        <w:tc>
          <w:tcPr>
            <w:tcW w:w="1231" w:type="dxa"/>
          </w:tcPr>
          <w:p>
            <w:pPr>
              <w:ind w:firstLine="0" w:firstLineChars="0"/>
              <w:jc w:val="both"/>
              <w:rPr>
                <w:rFonts w:ascii="仿宋" w:hAnsi="仿宋"/>
                <w:bCs/>
                <w:szCs w:val="24"/>
              </w:rPr>
            </w:pPr>
          </w:p>
        </w:tc>
        <w:tc>
          <w:tcPr>
            <w:tcW w:w="1231" w:type="dxa"/>
          </w:tcPr>
          <w:p>
            <w:pPr>
              <w:ind w:firstLine="0" w:firstLineChars="0"/>
              <w:jc w:val="both"/>
              <w:rPr>
                <w:rFonts w:ascii="仿宋" w:hAnsi="仿宋"/>
                <w:bCs/>
                <w:szCs w:val="24"/>
              </w:rPr>
            </w:pPr>
          </w:p>
        </w:tc>
        <w:tc>
          <w:tcPr>
            <w:tcW w:w="1231" w:type="dxa"/>
          </w:tcPr>
          <w:p>
            <w:pPr>
              <w:ind w:firstLine="0" w:firstLineChars="0"/>
              <w:jc w:val="both"/>
              <w:rPr>
                <w:rFonts w:ascii="仿宋" w:hAnsi="仿宋"/>
                <w:bCs/>
                <w:szCs w:val="24"/>
              </w:rPr>
            </w:pPr>
          </w:p>
        </w:tc>
        <w:tc>
          <w:tcPr>
            <w:tcW w:w="1231" w:type="dxa"/>
          </w:tcPr>
          <w:p>
            <w:pPr>
              <w:ind w:firstLine="0" w:firstLineChars="0"/>
              <w:jc w:val="center"/>
              <w:rPr>
                <w:rFonts w:ascii="仿宋" w:hAnsi="仿宋"/>
                <w:bCs/>
                <w:szCs w:val="24"/>
              </w:rPr>
            </w:pPr>
            <w:r>
              <w:rPr>
                <w:rFonts w:hint="eastAsia" w:ascii="仿宋" w:hAnsi="仿宋"/>
                <w:bCs/>
                <w:szCs w:val="24"/>
              </w:rPr>
              <w:t>800</w:t>
            </w:r>
          </w:p>
        </w:tc>
        <w:tc>
          <w:tcPr>
            <w:tcW w:w="1231" w:type="dxa"/>
          </w:tcPr>
          <w:p>
            <w:pPr>
              <w:ind w:firstLine="0" w:firstLineChars="0"/>
              <w:jc w:val="both"/>
              <w:rPr>
                <w:rFonts w:ascii="仿宋" w:hAnsi="仿宋"/>
                <w:bCs/>
                <w:szCs w:val="24"/>
              </w:rPr>
            </w:pPr>
          </w:p>
        </w:tc>
        <w:tc>
          <w:tcPr>
            <w:tcW w:w="1231" w:type="dxa"/>
          </w:tcPr>
          <w:p>
            <w:pPr>
              <w:ind w:firstLine="0" w:firstLineChars="0"/>
              <w:jc w:val="both"/>
              <w:rPr>
                <w:rFonts w:ascii="仿宋" w:hAnsi="仿宋"/>
                <w:bCs/>
                <w:szCs w:val="24"/>
              </w:rPr>
            </w:pPr>
          </w:p>
        </w:tc>
        <w:tc>
          <w:tcPr>
            <w:tcW w:w="1231" w:type="dxa"/>
          </w:tcPr>
          <w:p>
            <w:pPr>
              <w:ind w:firstLine="0" w:firstLineChars="0"/>
              <w:jc w:val="both"/>
              <w:rPr>
                <w:rFonts w:ascii="仿宋" w:hAnsi="仿宋"/>
                <w:bCs/>
                <w:szCs w:val="24"/>
              </w:rPr>
            </w:pPr>
          </w:p>
        </w:tc>
      </w:tr>
    </w:tbl>
    <w:p>
      <w:pPr>
        <w:ind w:firstLine="0" w:firstLineChars="0"/>
        <w:rPr>
          <w:rFonts w:ascii="仿宋" w:hAnsi="仿宋"/>
          <w:bCs/>
          <w:szCs w:val="24"/>
        </w:rPr>
      </w:pPr>
    </w:p>
    <w:p/>
    <w:sectPr>
      <w:headerReference r:id="rId5" w:type="default"/>
      <w:footerReference r:id="rId6" w:type="default"/>
      <w:pgSz w:w="11906" w:h="16838"/>
      <w:pgMar w:top="1020" w:right="991" w:bottom="1440" w:left="1276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56952810"/>
    </w:sdtPr>
    <w:sdtEndPr>
      <w:rPr>
        <w:rFonts w:ascii="Times New Roman" w:hAnsi="Times New Roman"/>
      </w:rPr>
    </w:sdtEndPr>
    <w:sdtContent>
      <w:p>
        <w:pPr>
          <w:pStyle w:val="3"/>
          <w:ind w:firstLine="360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lang w:val="zh-CN"/>
          </w:rPr>
          <w:t>11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0" w:firstLineChars="0"/>
      <w:jc w:val="left"/>
      <w:rPr>
        <w:rFonts w:eastAsiaTheme="minorEastAsia"/>
      </w:rPr>
    </w:pPr>
    <w:r>
      <w:rPr>
        <w:rFonts w:hint="eastAsia" w:ascii="Times New Roman" w:hAnsi="Times New Roman" w:eastAsiaTheme="minorEastAsia"/>
      </w:rPr>
      <w:t>山东第一医科大学第二附属医院生物阅读器及配套耗材采购项目（41435）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1A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</w:pPr>
    <w:rPr>
      <w:rFonts w:ascii="Calibri" w:hAnsi="Calibri" w:eastAsia="仿宋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widowControl w:val="0"/>
      <w:ind w:firstLine="200" w:firstLineChars="200"/>
    </w:pPr>
    <w:rPr>
      <w:rFonts w:ascii="Calibri" w:hAnsi="Calibri" w:eastAsia="仿宋" w:cs="Times New Roman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D030</dc:creator>
  <cp:lastModifiedBy>D030</cp:lastModifiedBy>
  <dcterms:modified xsi:type="dcterms:W3CDTF">2021-12-10T07:57:56Z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3D5F4F3A63AD4DE986827B22E7C5656A</vt:lpwstr>
  </property>
</Properties>
</file>